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A48E">
      <w:pPr>
        <w:pStyle w:val="4"/>
        <w:jc w:val="both"/>
        <w:rPr>
          <w:rStyle w:val="5"/>
          <w:rFonts w:hint="default" w:ascii="Book Antiqua" w:hAnsi="Book Antiqua"/>
          <w:lang w:val="en-US"/>
        </w:rPr>
      </w:pPr>
      <w:r>
        <w:rPr>
          <w:rStyle w:val="5"/>
          <w:rFonts w:hint="default" w:ascii="Book Antiqua" w:hAnsi="Book Antiqua"/>
          <w:lang w:val="en-US"/>
        </w:rPr>
        <w:t>DG’s Address for KSG: A</w:t>
      </w:r>
      <w:r>
        <w:rPr>
          <w:rStyle w:val="5"/>
          <w:rFonts w:ascii="Book Antiqua" w:hAnsi="Book Antiqua"/>
        </w:rPr>
        <w:t xml:space="preserve"> Call to </w:t>
      </w:r>
      <w:r>
        <w:rPr>
          <w:rStyle w:val="5"/>
          <w:rFonts w:hint="default" w:ascii="Book Antiqua" w:hAnsi="Book Antiqua"/>
          <w:lang w:val="en-US"/>
        </w:rPr>
        <w:t xml:space="preserve">Trust, Leadership </w:t>
      </w:r>
      <w:r>
        <w:rPr>
          <w:rStyle w:val="5"/>
          <w:rFonts w:ascii="Book Antiqua" w:hAnsi="Book Antiqua"/>
        </w:rPr>
        <w:t xml:space="preserve">and </w:t>
      </w:r>
      <w:r>
        <w:rPr>
          <w:rStyle w:val="5"/>
          <w:rFonts w:hint="default" w:ascii="Book Antiqua" w:hAnsi="Book Antiqua"/>
          <w:lang w:val="en-US"/>
        </w:rPr>
        <w:t>Stewardship</w:t>
      </w:r>
    </w:p>
    <w:p w14:paraId="14E8AF24">
      <w:pPr>
        <w:pStyle w:val="4"/>
        <w:jc w:val="both"/>
        <w:rPr>
          <w:rFonts w:ascii="Book Antiqua" w:hAnsi="Book Antiqua"/>
          <w:lang w:val="en-US"/>
        </w:rPr>
      </w:pPr>
      <w:r>
        <w:rPr>
          <w:rStyle w:val="5"/>
          <w:rFonts w:ascii="Book Antiqua" w:hAnsi="Book Antiqua"/>
          <w:lang w:val="en-US"/>
        </w:rPr>
        <w:t>By Glenn Lumiti</w:t>
      </w:r>
    </w:p>
    <w:p w14:paraId="2842F133">
      <w:pPr>
        <w:pStyle w:val="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Kenya School of Government concluded </w:t>
      </w:r>
      <w:r>
        <w:rPr>
          <w:rFonts w:hint="default" w:ascii="Book Antiqua" w:hAnsi="Book Antiqua"/>
          <w:lang w:val="en-US"/>
        </w:rPr>
        <w:t xml:space="preserve">2025 </w:t>
      </w:r>
      <w:r>
        <w:rPr>
          <w:rFonts w:ascii="Book Antiqua" w:hAnsi="Book Antiqua"/>
        </w:rPr>
        <w:t>with a resonant and far-reaching end-of-year address that drew together staff from across all campuses in a unified moment of reflection, affirmation, and renewed resolve. Delivered virtually</w:t>
      </w:r>
      <w:r>
        <w:rPr>
          <w:rFonts w:hint="default" w:ascii="Book Antiqua" w:hAnsi="Book Antiqua"/>
          <w:lang w:val="en-US"/>
        </w:rPr>
        <w:t xml:space="preserve"> from</w:t>
      </w:r>
      <w:r>
        <w:rPr>
          <w:rFonts w:ascii="Book Antiqua" w:hAnsi="Book Antiqua"/>
        </w:rPr>
        <w:t xml:space="preserve"> Matuga Campus,</w:t>
      </w:r>
      <w:r>
        <w:rPr>
          <w:rFonts w:hint="default"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Director General, Prof. Nura Mohamed</w:t>
      </w:r>
      <w:r>
        <w:rPr>
          <w:rFonts w:hint="default" w:ascii="Book Antiqua" w:hAnsi="Book Antiqua"/>
          <w:lang w:val="en-US"/>
        </w:rPr>
        <w:t xml:space="preserve">’s </w:t>
      </w:r>
      <w:r>
        <w:rPr>
          <w:rFonts w:ascii="Book Antiqua" w:hAnsi="Book Antiqua"/>
        </w:rPr>
        <w:t xml:space="preserve">address marked the formal close of the institution’s annual celebrations and </w:t>
      </w:r>
      <w:r>
        <w:rPr>
          <w:rFonts w:ascii="Book Antiqua" w:hAnsi="Book Antiqua"/>
          <w:lang w:val="en-US"/>
        </w:rPr>
        <w:t>stamped</w:t>
      </w:r>
      <w:r>
        <w:rPr>
          <w:rFonts w:hint="default"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KSG’s central role in shaping the conscience, competence, and character of Kenya’s public service.</w:t>
      </w:r>
    </w:p>
    <w:p w14:paraId="4EF05EF7">
      <w:pPr>
        <w:pStyle w:val="4"/>
        <w:jc w:val="both"/>
        <w:rPr>
          <w:rFonts w:ascii="Book Antiqua" w:hAnsi="Book Antiqua" w:eastAsia="Times New Roman" w:cs="Times New Roman"/>
          <w:lang w:eastAsia="en-GB"/>
        </w:rPr>
      </w:pPr>
      <w:r>
        <w:rPr>
          <w:rFonts w:ascii="Book Antiqua" w:hAnsi="Book Antiqua"/>
        </w:rPr>
        <w:t>Prof. Mohamed</w:t>
      </w:r>
      <w:r>
        <w:rPr>
          <w:rFonts w:hint="default" w:ascii="Book Antiqua" w:hAnsi="Book Antiqua"/>
          <w:lang w:val="en-US"/>
        </w:rPr>
        <w:t xml:space="preserve">’s </w:t>
      </w:r>
      <w:r>
        <w:rPr>
          <w:rFonts w:ascii="Book Antiqua" w:hAnsi="Book Antiqua"/>
        </w:rPr>
        <w:t xml:space="preserve">address elevated the occasion from celebration to conviction. </w:t>
      </w:r>
      <w:r>
        <w:rPr>
          <w:rFonts w:ascii="Book Antiqua" w:hAnsi="Book Antiqua" w:eastAsia="Times New Roman" w:cs="Times New Roman"/>
          <w:lang w:eastAsia="en-GB"/>
        </w:rPr>
        <w:t>“We measure our seasons by the caliber of minds sharpened, ethics reinforced, and the courage cultivated in the service of the Republic,” he said</w:t>
      </w:r>
      <w:r>
        <w:rPr>
          <w:rFonts w:hint="default" w:ascii="Book Antiqua" w:hAnsi="Book Antiqua" w:cs="Times New Roman"/>
          <w:lang w:val="en-US" w:eastAsia="en-GB"/>
        </w:rPr>
        <w:t xml:space="preserve">. </w:t>
      </w:r>
    </w:p>
    <w:p w14:paraId="16E47A9E">
      <w:pPr>
        <w:jc w:val="both"/>
        <w:rPr>
          <w:rFonts w:ascii="Book Antiqua" w:hAnsi="Book Antiqua" w:eastAsia="Times New Roman" w:cs="Times New Roman"/>
          <w:lang w:val="en-US" w:eastAsia="en-GB"/>
        </w:rPr>
      </w:pPr>
      <w:r>
        <w:rPr>
          <w:rFonts w:ascii="Book Antiqua" w:hAnsi="Book Antiqua" w:eastAsia="Times New Roman" w:cs="Times New Roman"/>
          <w:lang w:eastAsia="en-GB"/>
        </w:rPr>
        <w:t xml:space="preserve">Framing the </w:t>
      </w:r>
      <w:r>
        <w:rPr>
          <w:rFonts w:hint="default" w:ascii="Book Antiqua" w:hAnsi="Book Antiqua" w:eastAsia="Times New Roman" w:cs="Times New Roman"/>
          <w:lang w:val="en-US" w:eastAsia="en-GB"/>
        </w:rPr>
        <w:t>S</w:t>
      </w:r>
      <w:r>
        <w:rPr>
          <w:rFonts w:ascii="Book Antiqua" w:hAnsi="Book Antiqua" w:eastAsia="Times New Roman" w:cs="Times New Roman"/>
          <w:lang w:eastAsia="en-GB"/>
        </w:rPr>
        <w:t>chool’s mandate as both intellectual and moral, Prof. Mohamed emphasized that the institution exists to “shape the conscience, competence, and character of public leadership.</w:t>
      </w:r>
      <w:r>
        <w:rPr>
          <w:rFonts w:ascii="Book Antiqua" w:hAnsi="Book Antiqua" w:eastAsia="Times New Roman" w:cs="Times New Roman"/>
          <w:lang w:val="en-US" w:eastAsia="en-GB"/>
        </w:rPr>
        <w:t xml:space="preserve"> </w:t>
      </w:r>
      <w:r>
        <w:rPr>
          <w:rFonts w:ascii="Book Antiqua" w:hAnsi="Book Antiqua" w:eastAsia="Times New Roman" w:cs="Times New Roman"/>
          <w:lang w:eastAsia="en-GB"/>
        </w:rPr>
        <w:t>This responsibility</w:t>
      </w:r>
      <w:r>
        <w:rPr>
          <w:rFonts w:ascii="Book Antiqua" w:hAnsi="Book Antiqua" w:eastAsia="Times New Roman" w:cs="Times New Roman"/>
          <w:lang w:val="en-US" w:eastAsia="en-GB"/>
        </w:rPr>
        <w:t xml:space="preserve"> </w:t>
      </w:r>
      <w:r>
        <w:rPr>
          <w:rFonts w:ascii="Book Antiqua" w:hAnsi="Book Antiqua" w:eastAsia="Times New Roman" w:cs="Times New Roman"/>
          <w:lang w:eastAsia="en-GB"/>
        </w:rPr>
        <w:t>is neither light nor routine. Technical competency matters. Innovation matters. Efficiency matters. Yet without conscience, they are hollow,</w:t>
      </w:r>
      <w:r>
        <w:rPr>
          <w:rFonts w:ascii="Book Antiqua" w:hAnsi="Book Antiqua" w:eastAsia="Times New Roman" w:cs="Times New Roman"/>
          <w:lang w:val="en-US" w:eastAsia="en-GB"/>
        </w:rPr>
        <w:t>”</w:t>
      </w:r>
      <w:r>
        <w:rPr>
          <w:rFonts w:ascii="Book Antiqua" w:hAnsi="Book Antiqua" w:eastAsia="Times New Roman" w:cs="Times New Roman"/>
          <w:lang w:eastAsia="en-GB"/>
        </w:rPr>
        <w:t xml:space="preserve"> he </w:t>
      </w:r>
      <w:r>
        <w:rPr>
          <w:rFonts w:hint="default" w:ascii="Book Antiqua" w:hAnsi="Book Antiqua" w:eastAsia="Times New Roman" w:cs="Times New Roman"/>
          <w:lang w:val="en-US" w:eastAsia="en-GB"/>
        </w:rPr>
        <w:t>stated</w:t>
      </w:r>
      <w:r>
        <w:rPr>
          <w:rFonts w:ascii="Book Antiqua" w:hAnsi="Book Antiqua" w:eastAsia="Times New Roman" w:cs="Times New Roman"/>
          <w:lang w:val="en-US" w:eastAsia="en-GB"/>
        </w:rPr>
        <w:t>.</w:t>
      </w:r>
    </w:p>
    <w:p w14:paraId="1F8FCCBB">
      <w:pPr>
        <w:jc w:val="both"/>
        <w:rPr>
          <w:rFonts w:ascii="Book Antiqua" w:hAnsi="Book Antiqua" w:eastAsia="Times New Roman" w:cs="Times New Roman"/>
          <w:lang w:eastAsia="en-GB"/>
        </w:rPr>
      </w:pPr>
    </w:p>
    <w:p w14:paraId="04A53CAD">
      <w:pPr>
        <w:jc w:val="both"/>
        <w:rPr>
          <w:rFonts w:ascii="Book Antiqua" w:hAnsi="Book Antiqua" w:eastAsia="Times New Roman" w:cs="Times New Roman"/>
          <w:lang w:eastAsia="en-GB"/>
        </w:rPr>
      </w:pPr>
      <w:r>
        <w:rPr>
          <w:rFonts w:hint="default" w:ascii="Book Antiqua" w:hAnsi="Book Antiqua" w:eastAsia="Times New Roman" w:cs="Times New Roman"/>
          <w:lang w:val="en-US" w:eastAsia="en-GB"/>
        </w:rPr>
        <w:t>O</w:t>
      </w:r>
      <w:r>
        <w:rPr>
          <w:rFonts w:ascii="Book Antiqua" w:hAnsi="Book Antiqua" w:eastAsia="Times New Roman" w:cs="Times New Roman"/>
          <w:lang w:eastAsia="en-GB"/>
        </w:rPr>
        <w:t>utlin</w:t>
      </w:r>
      <w:r>
        <w:rPr>
          <w:rFonts w:hint="default" w:ascii="Book Antiqua" w:hAnsi="Book Antiqua" w:eastAsia="Times New Roman" w:cs="Times New Roman"/>
          <w:lang w:val="en-US" w:eastAsia="en-GB"/>
        </w:rPr>
        <w:t>ing</w:t>
      </w:r>
      <w:r>
        <w:rPr>
          <w:rFonts w:ascii="Book Antiqua" w:hAnsi="Book Antiqua" w:eastAsia="Times New Roman" w:cs="Times New Roman"/>
          <w:lang w:eastAsia="en-GB"/>
        </w:rPr>
        <w:t xml:space="preserve"> concrete progress made during the year,</w:t>
      </w:r>
      <w:r>
        <w:rPr>
          <w:rFonts w:hint="default" w:ascii="Book Antiqua" w:hAnsi="Book Antiqua" w:eastAsia="Times New Roman" w:cs="Times New Roman"/>
          <w:lang w:val="en-US" w:eastAsia="en-GB"/>
        </w:rPr>
        <w:t xml:space="preserve"> he</w:t>
      </w:r>
      <w:r>
        <w:rPr>
          <w:rFonts w:ascii="Book Antiqua" w:hAnsi="Book Antiqua" w:eastAsia="Times New Roman" w:cs="Times New Roman"/>
          <w:lang w:eastAsia="en-GB"/>
        </w:rPr>
        <w:t xml:space="preserve"> cit</w:t>
      </w:r>
      <w:r>
        <w:rPr>
          <w:rFonts w:hint="default" w:ascii="Book Antiqua" w:hAnsi="Book Antiqua" w:eastAsia="Times New Roman" w:cs="Times New Roman"/>
          <w:lang w:val="en-US" w:eastAsia="en-GB"/>
        </w:rPr>
        <w:t>ed</w:t>
      </w:r>
      <w:r>
        <w:rPr>
          <w:rFonts w:ascii="Book Antiqua" w:hAnsi="Book Antiqua" w:eastAsia="Times New Roman" w:cs="Times New Roman"/>
          <w:lang w:eastAsia="en-GB"/>
        </w:rPr>
        <w:t xml:space="preserve"> refreshed curricula aligned to contemporary governance challenges, deeper collaboration with ministries, counties, and development partners, and growing regional influence. </w:t>
      </w:r>
    </w:p>
    <w:p w14:paraId="0409ACCB">
      <w:pPr>
        <w:jc w:val="both"/>
        <w:rPr>
          <w:rFonts w:ascii="Book Antiqua" w:hAnsi="Book Antiqua" w:eastAsia="Times New Roman" w:cs="Times New Roman"/>
          <w:lang w:eastAsia="en-GB"/>
        </w:rPr>
      </w:pPr>
    </w:p>
    <w:p w14:paraId="69F99811">
      <w:pPr>
        <w:jc w:val="both"/>
        <w:rPr>
          <w:rFonts w:ascii="Book Antiqua" w:hAnsi="Book Antiqua" w:eastAsia="Times New Roman" w:cs="Times New Roman"/>
          <w:lang w:eastAsia="en-GB"/>
        </w:rPr>
      </w:pPr>
      <w:r>
        <w:rPr>
          <w:rFonts w:ascii="Book Antiqua" w:hAnsi="Book Antiqua" w:eastAsia="Times New Roman" w:cs="Times New Roman"/>
          <w:lang w:eastAsia="en-GB"/>
        </w:rPr>
        <w:t xml:space="preserve">Across his </w:t>
      </w:r>
      <w:r>
        <w:rPr>
          <w:rFonts w:hint="default" w:ascii="Book Antiqua" w:hAnsi="Book Antiqua" w:eastAsia="Times New Roman" w:cs="Times New Roman"/>
          <w:lang w:val="en-US" w:eastAsia="en-GB"/>
        </w:rPr>
        <w:t>remarks</w:t>
      </w:r>
      <w:r>
        <w:rPr>
          <w:rFonts w:ascii="Book Antiqua" w:hAnsi="Book Antiqua" w:eastAsia="Times New Roman" w:cs="Times New Roman"/>
          <w:lang w:eastAsia="en-GB"/>
        </w:rPr>
        <w:t xml:space="preserve">, </w:t>
      </w:r>
      <w:r>
        <w:rPr>
          <w:rFonts w:hint="default" w:ascii="Book Antiqua" w:hAnsi="Book Antiqua" w:eastAsia="Times New Roman" w:cs="Times New Roman"/>
          <w:lang w:val="en-US" w:eastAsia="en-GB"/>
        </w:rPr>
        <w:t>the DG</w:t>
      </w:r>
      <w:r>
        <w:rPr>
          <w:rFonts w:ascii="Book Antiqua" w:hAnsi="Book Antiqua" w:eastAsia="Times New Roman" w:cs="Times New Roman"/>
          <w:lang w:eastAsia="en-GB"/>
        </w:rPr>
        <w:t xml:space="preserve"> repeatedly returned to the centrality of staff</w:t>
      </w:r>
      <w:r>
        <w:rPr>
          <w:rFonts w:hint="default" w:ascii="Book Antiqua" w:hAnsi="Book Antiqua" w:eastAsia="Times New Roman" w:cs="Times New Roman"/>
          <w:lang w:val="en-US" w:eastAsia="en-GB"/>
        </w:rPr>
        <w:t xml:space="preserve"> </w:t>
      </w:r>
      <w:r>
        <w:rPr>
          <w:rFonts w:ascii="Book Antiqua" w:hAnsi="Book Antiqua" w:eastAsia="Times New Roman" w:cs="Times New Roman"/>
          <w:lang w:eastAsia="en-GB"/>
        </w:rPr>
        <w:t>pa</w:t>
      </w:r>
      <w:r>
        <w:rPr>
          <w:rFonts w:hint="default" w:ascii="Book Antiqua" w:hAnsi="Book Antiqua" w:eastAsia="Times New Roman" w:cs="Times New Roman"/>
          <w:lang w:val="en-US" w:eastAsia="en-GB"/>
        </w:rPr>
        <w:t>ying</w:t>
      </w:r>
      <w:r>
        <w:rPr>
          <w:rFonts w:ascii="Book Antiqua" w:hAnsi="Book Antiqua" w:eastAsia="Times New Roman" w:cs="Times New Roman"/>
          <w:lang w:eastAsia="en-GB"/>
        </w:rPr>
        <w:t xml:space="preserve"> tribute to </w:t>
      </w:r>
      <w:r>
        <w:rPr>
          <w:rFonts w:hint="default" w:ascii="Book Antiqua" w:hAnsi="Book Antiqua" w:eastAsia="Times New Roman" w:cs="Times New Roman"/>
          <w:lang w:val="en-US" w:eastAsia="en-GB"/>
        </w:rPr>
        <w:t>his team</w:t>
      </w:r>
      <w:r>
        <w:rPr>
          <w:rFonts w:ascii="Book Antiqua" w:hAnsi="Book Antiqua" w:eastAsia="Times New Roman" w:cs="Times New Roman"/>
          <w:lang w:eastAsia="en-GB"/>
        </w:rPr>
        <w:t>, observing that influence is often felt in quiet moments: “When a policy drafter pauses to consider unintended consequences, when a public officer listens rather than dictates, when fairness is chosen over favour</w:t>
      </w:r>
      <w:r>
        <w:rPr>
          <w:rFonts w:ascii="Book Antiqua" w:hAnsi="Book Antiqua" w:eastAsia="Times New Roman" w:cs="Times New Roman"/>
          <w:lang w:val="en-US" w:eastAsia="en-GB"/>
        </w:rPr>
        <w:t xml:space="preserve">, </w:t>
      </w:r>
      <w:r>
        <w:rPr>
          <w:rFonts w:ascii="Book Antiqua" w:hAnsi="Book Antiqua" w:eastAsia="Times New Roman" w:cs="Times New Roman"/>
          <w:lang w:eastAsia="en-GB"/>
        </w:rPr>
        <w:t>Kenya School of Government is at work.”</w:t>
      </w:r>
    </w:p>
    <w:p w14:paraId="7571EF9E">
      <w:pPr>
        <w:jc w:val="both"/>
        <w:rPr>
          <w:rFonts w:ascii="Book Antiqua" w:hAnsi="Book Antiqua" w:eastAsia="Times New Roman" w:cs="Times New Roman"/>
          <w:lang w:eastAsia="en-GB"/>
        </w:rPr>
      </w:pPr>
    </w:p>
    <w:p w14:paraId="2D22479C">
      <w:pPr>
        <w:jc w:val="both"/>
        <w:rPr>
          <w:rFonts w:ascii="Book Antiqua" w:hAnsi="Book Antiqua" w:eastAsia="Times New Roman" w:cs="Times New Roman"/>
          <w:lang w:eastAsia="en-GB"/>
        </w:rPr>
      </w:pPr>
      <w:r>
        <w:rPr>
          <w:rFonts w:ascii="Book Antiqua" w:hAnsi="Book Antiqua" w:eastAsia="Times New Roman" w:cs="Times New Roman"/>
          <w:lang w:eastAsia="en-GB"/>
        </w:rPr>
        <w:t xml:space="preserve">Looking ahead, the </w:t>
      </w:r>
      <w:r>
        <w:rPr>
          <w:rFonts w:hint="default" w:ascii="Book Antiqua" w:hAnsi="Book Antiqua" w:eastAsia="Times New Roman" w:cs="Times New Roman"/>
          <w:lang w:val="en-US" w:eastAsia="en-GB"/>
        </w:rPr>
        <w:t xml:space="preserve">DG </w:t>
      </w:r>
      <w:r>
        <w:rPr>
          <w:rFonts w:ascii="Book Antiqua" w:hAnsi="Book Antiqua" w:eastAsia="Times New Roman" w:cs="Times New Roman"/>
          <w:lang w:eastAsia="en-GB"/>
        </w:rPr>
        <w:t>issued a challenge</w:t>
      </w:r>
      <w:r>
        <w:rPr>
          <w:rFonts w:hint="default" w:ascii="Book Antiqua" w:hAnsi="Book Antiqua" w:eastAsia="Times New Roman" w:cs="Times New Roman"/>
          <w:lang w:val="en-US" w:eastAsia="en-GB"/>
        </w:rPr>
        <w:t>:</w:t>
      </w:r>
      <w:r>
        <w:rPr>
          <w:rFonts w:ascii="Book Antiqua" w:hAnsi="Book Antiqua" w:eastAsia="Times New Roman" w:cs="Times New Roman"/>
          <w:lang w:eastAsia="en-GB"/>
        </w:rPr>
        <w:t xml:space="preserve"> In an era of rising public expectations, fiscal pressure, digital disruption, and social polarization, KSG cannot afford to be ordinary, cautious, or inward-looking. Leadership must be taught as responsibility, governance as trust, and power as stewardship. </w:t>
      </w:r>
    </w:p>
    <w:p w14:paraId="6B58B94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1492"/>
    <w:rsid w:val="1A10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2026-01-14T18:36:00Z</dcterms:created>
  <dc:creator>Faith.Musoga</dc:creator>
  <cp:lastModifiedBy>Faith.Musoga</cp:lastModifiedBy>
  <dcterms:modified xsi:type="dcterms:W3CDTF">2026-01-14T18:37:49Z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0C022A9BB50D4DEFA7AD104A166A4FAC_11</vt:lpwstr>
  </property>
</Properties>
</file>